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51E1414D" w:rsidR="00F80CC8" w:rsidRPr="00EC1947" w:rsidRDefault="00F80CC8" w:rsidP="002E7515">
            <w:pPr>
              <w:spacing w:line="360" w:lineRule="auto"/>
              <w:jc w:val="both"/>
              <w:rPr>
                <w:rFonts w:ascii="Calibri" w:hAnsi="Calibri" w:cs="Arial"/>
                <w:b/>
              </w:rPr>
            </w:pPr>
            <w:r w:rsidRPr="00EC1947">
              <w:rPr>
                <w:rFonts w:ascii="Calibri" w:hAnsi="Calibri" w:cs="Arial"/>
                <w:b/>
              </w:rPr>
              <w:t>JOB TITLE:</w:t>
            </w:r>
            <w:r w:rsidR="00775E5B">
              <w:rPr>
                <w:rFonts w:ascii="Calibri" w:hAnsi="Calibri" w:cs="Arial"/>
                <w:b/>
              </w:rPr>
              <w:t xml:space="preserve"> </w:t>
            </w:r>
          </w:p>
        </w:tc>
        <w:tc>
          <w:tcPr>
            <w:tcW w:w="6484" w:type="dxa"/>
          </w:tcPr>
          <w:p w14:paraId="4F898B2D" w14:textId="5B0CF1E4" w:rsidR="00F80CC8" w:rsidRPr="00EC1947" w:rsidRDefault="00775E5B" w:rsidP="002E7515">
            <w:pPr>
              <w:spacing w:line="360" w:lineRule="auto"/>
              <w:jc w:val="both"/>
              <w:rPr>
                <w:rFonts w:ascii="Calibri" w:hAnsi="Calibri" w:cs="Arial"/>
                <w:bCs/>
              </w:rPr>
            </w:pPr>
            <w:r w:rsidRPr="00775E5B">
              <w:rPr>
                <w:rFonts w:ascii="Calibri" w:hAnsi="Calibri" w:cs="Arial"/>
                <w:bCs/>
              </w:rPr>
              <w:t>Security and Internet Services Engineer</w:t>
            </w:r>
          </w:p>
        </w:tc>
      </w:tr>
      <w:tr w:rsidR="00F80CC8" w:rsidRPr="00C5268B" w14:paraId="42F203C7" w14:textId="77777777" w:rsidTr="002E7515">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4CC485DC" w:rsidR="00F80CC8" w:rsidRPr="00EC1947" w:rsidRDefault="00775E5B" w:rsidP="002E7515">
            <w:pPr>
              <w:spacing w:line="360" w:lineRule="auto"/>
              <w:jc w:val="both"/>
              <w:rPr>
                <w:rFonts w:ascii="Calibri" w:hAnsi="Calibri" w:cs="Arial"/>
                <w:bCs/>
              </w:rPr>
            </w:pPr>
            <w:r w:rsidRPr="00775E5B">
              <w:rPr>
                <w:rFonts w:ascii="Calibri" w:hAnsi="Calibri" w:cs="Arial"/>
                <w:bCs/>
              </w:rPr>
              <w:t>37.5 hours per week</w:t>
            </w:r>
          </w:p>
        </w:tc>
      </w:tr>
      <w:tr w:rsidR="00F80CC8" w:rsidRPr="00C5268B" w14:paraId="22CDC2FA" w14:textId="77777777" w:rsidTr="002E7515">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72BBAF87" w:rsidR="00F80CC8" w:rsidRDefault="00775E5B" w:rsidP="002E7515">
            <w:pPr>
              <w:spacing w:line="360" w:lineRule="auto"/>
              <w:jc w:val="both"/>
              <w:rPr>
                <w:rFonts w:ascii="Calibri" w:hAnsi="Calibri" w:cs="Arial"/>
                <w:bCs/>
              </w:rPr>
            </w:pPr>
            <w:r w:rsidRPr="00775E5B">
              <w:rPr>
                <w:rFonts w:ascii="Calibri" w:hAnsi="Calibri" w:cs="Arial"/>
                <w:bCs/>
              </w:rPr>
              <w:t>Head of Internal Systems and Security Operations</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1AC7EFB7" w:rsidR="00F80CC8" w:rsidRPr="00EC1947" w:rsidRDefault="00775E5B" w:rsidP="002E7515">
            <w:pPr>
              <w:spacing w:line="360" w:lineRule="auto"/>
              <w:jc w:val="both"/>
              <w:rPr>
                <w:rFonts w:ascii="Calibri" w:hAnsi="Calibri" w:cs="Arial"/>
                <w:bCs/>
              </w:rPr>
            </w:pPr>
            <w:r w:rsidRPr="00775E5B">
              <w:rPr>
                <w:rFonts w:ascii="Calibri" w:hAnsi="Calibri" w:cs="Arial"/>
                <w:bCs/>
              </w:rPr>
              <w:t>All Sure IT systems users</w:t>
            </w:r>
            <w:r>
              <w:rPr>
                <w:rFonts w:ascii="Calibri" w:hAnsi="Calibri" w:cs="Arial"/>
                <w:bCs/>
              </w:rPr>
              <w:t xml:space="preserve"> and COO engineering functions</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6A76C070" w:rsidR="00F80CC8" w:rsidRPr="00EC1947" w:rsidRDefault="00775E5B" w:rsidP="002E7515">
            <w:pPr>
              <w:spacing w:line="360" w:lineRule="auto"/>
              <w:jc w:val="both"/>
              <w:rPr>
                <w:rFonts w:ascii="Calibri" w:hAnsi="Calibri" w:cs="Arial"/>
                <w:bCs/>
              </w:rPr>
            </w:pPr>
            <w:r w:rsidRPr="00775E5B">
              <w:rPr>
                <w:rFonts w:ascii="Calibri" w:hAnsi="Calibri" w:cs="Arial"/>
                <w:bCs/>
              </w:rPr>
              <w:t>Internal Systems and Security Operations</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6A3D9AEC" w:rsidR="00F80CC8" w:rsidRPr="00EC1947" w:rsidRDefault="00775E5B" w:rsidP="002E7515">
            <w:pPr>
              <w:spacing w:line="360" w:lineRule="auto"/>
              <w:jc w:val="both"/>
              <w:rPr>
                <w:rFonts w:ascii="Calibri" w:hAnsi="Calibri" w:cs="Arial"/>
                <w:bCs/>
              </w:rPr>
            </w:pPr>
            <w:r w:rsidRPr="00775E5B">
              <w:rPr>
                <w:rFonts w:ascii="Calibri" w:hAnsi="Calibri" w:cs="Arial"/>
                <w:bCs/>
              </w:rPr>
              <w:t>Guernsey or Jersey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1D5E3A24" w:rsidR="00F80CC8" w:rsidRDefault="00F80CC8" w:rsidP="00F80CC8">
      <w:pPr>
        <w:pStyle w:val="Heading2"/>
        <w:jc w:val="both"/>
      </w:pPr>
      <w:r w:rsidRPr="00C5268B">
        <w:t>JOB PURPOSE</w:t>
      </w:r>
    </w:p>
    <w:p w14:paraId="42E92A2E" w14:textId="77777777" w:rsidR="00775E5B" w:rsidRPr="00775E5B" w:rsidRDefault="00775E5B" w:rsidP="00775E5B">
      <w:pPr>
        <w:rPr>
          <w:lang w:val="en-GB"/>
        </w:rPr>
      </w:pPr>
    </w:p>
    <w:p w14:paraId="6D9BAA14" w14:textId="77777777" w:rsidR="00775E5B" w:rsidRPr="00775E5B" w:rsidRDefault="00775E5B" w:rsidP="00775E5B">
      <w:pPr>
        <w:jc w:val="both"/>
        <w:rPr>
          <w:rFonts w:ascii="Calibri" w:hAnsi="Calibri"/>
          <w:sz w:val="22"/>
          <w:szCs w:val="22"/>
        </w:rPr>
      </w:pPr>
      <w:r w:rsidRPr="00775E5B">
        <w:rPr>
          <w:rFonts w:ascii="Calibri" w:hAnsi="Calibri"/>
          <w:sz w:val="22"/>
          <w:szCs w:val="22"/>
        </w:rPr>
        <w:t xml:space="preserve">To be responsible for active management and development of Sure Security and ISP estate. </w:t>
      </w:r>
    </w:p>
    <w:p w14:paraId="20A88AFC" w14:textId="07D8A5D3" w:rsidR="00F80CC8" w:rsidRDefault="00775E5B" w:rsidP="00775E5B">
      <w:pPr>
        <w:jc w:val="both"/>
        <w:rPr>
          <w:rFonts w:ascii="Calibri" w:hAnsi="Calibri"/>
          <w:sz w:val="22"/>
          <w:szCs w:val="22"/>
        </w:rPr>
      </w:pPr>
      <w:r w:rsidRPr="00775E5B">
        <w:rPr>
          <w:rFonts w:ascii="Calibri" w:hAnsi="Calibri"/>
          <w:sz w:val="22"/>
          <w:szCs w:val="22"/>
        </w:rPr>
        <w:t>To work with wider Sure teams to support Sure’s security strategy and operational objectives</w:t>
      </w:r>
    </w:p>
    <w:p w14:paraId="72397C9D" w14:textId="77777777" w:rsidR="004F2ED7" w:rsidRPr="00C5268B" w:rsidRDefault="004F2ED7" w:rsidP="00F80CC8">
      <w:pPr>
        <w:jc w:val="both"/>
        <w:rPr>
          <w:rFonts w:ascii="Calibri" w:hAnsi="Calibri"/>
          <w:sz w:val="22"/>
          <w:szCs w:val="22"/>
        </w:rPr>
      </w:pPr>
    </w:p>
    <w:p w14:paraId="7CE8AFF3" w14:textId="0603FBE9" w:rsidR="00F80CC8" w:rsidRDefault="00F80CC8" w:rsidP="00F80CC8">
      <w:pPr>
        <w:pStyle w:val="Heading2"/>
        <w:jc w:val="both"/>
      </w:pPr>
      <w:r w:rsidRPr="00C5268B">
        <w:t>MAIN DUTIES AND RESPONSIBILITIES</w:t>
      </w:r>
    </w:p>
    <w:p w14:paraId="379CBFD8" w14:textId="77777777" w:rsidR="00775E5B" w:rsidRPr="00775E5B" w:rsidRDefault="00775E5B" w:rsidP="00775E5B">
      <w:pPr>
        <w:rPr>
          <w:rFonts w:ascii="Calibri" w:hAnsi="Calibri"/>
          <w:sz w:val="22"/>
          <w:szCs w:val="22"/>
        </w:rPr>
      </w:pPr>
      <w:r w:rsidRPr="00775E5B">
        <w:rPr>
          <w:rFonts w:ascii="Calibri" w:hAnsi="Calibri"/>
          <w:sz w:val="22"/>
          <w:szCs w:val="22"/>
        </w:rPr>
        <w:t>Specifically but not restricted to:-</w:t>
      </w:r>
    </w:p>
    <w:p w14:paraId="7BDD23E6" w14:textId="77777777" w:rsidR="00775E5B" w:rsidRDefault="00775E5B" w:rsidP="00775E5B">
      <w:pPr>
        <w:rPr>
          <w:rFonts w:ascii="Calibri" w:hAnsi="Calibri"/>
          <w:sz w:val="22"/>
          <w:szCs w:val="22"/>
        </w:rPr>
      </w:pPr>
    </w:p>
    <w:p w14:paraId="13789FF5" w14:textId="6AB9FAF3"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Manage internal security technology and tools</w:t>
      </w:r>
    </w:p>
    <w:p w14:paraId="159D2F5B"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Manage ISP environment including AAA, DNS and Linux operating systems</w:t>
      </w:r>
    </w:p>
    <w:p w14:paraId="4A2E761F"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Manage monitoring and alerting tools</w:t>
      </w:r>
    </w:p>
    <w:p w14:paraId="737668B6"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Drive automation through orchestration tools and scripting</w:t>
      </w:r>
    </w:p>
    <w:p w14:paraId="209C0C13" w14:textId="77777777" w:rsidR="00775E5B" w:rsidRPr="00775E5B" w:rsidRDefault="00775E5B" w:rsidP="00775E5B">
      <w:pPr>
        <w:ind w:left="720" w:hanging="720"/>
        <w:rPr>
          <w:rFonts w:ascii="Calibri" w:hAnsi="Calibri"/>
          <w:sz w:val="22"/>
          <w:szCs w:val="22"/>
        </w:rPr>
      </w:pPr>
      <w:r w:rsidRPr="00775E5B">
        <w:rPr>
          <w:rFonts w:ascii="Calibri" w:hAnsi="Calibri"/>
          <w:sz w:val="22"/>
          <w:szCs w:val="22"/>
        </w:rPr>
        <w:t>•</w:t>
      </w:r>
      <w:r w:rsidRPr="00775E5B">
        <w:rPr>
          <w:rFonts w:ascii="Calibri" w:hAnsi="Calibri"/>
          <w:sz w:val="22"/>
          <w:szCs w:val="22"/>
        </w:rPr>
        <w:tab/>
        <w:t>Work with SecOps Lead and external agencies to investigate security alerts and provide incident response</w:t>
      </w:r>
    </w:p>
    <w:p w14:paraId="1D87F56B" w14:textId="77777777" w:rsidR="00775E5B" w:rsidRPr="00775E5B" w:rsidRDefault="00775E5B" w:rsidP="00775E5B">
      <w:pPr>
        <w:ind w:left="720" w:hanging="720"/>
        <w:rPr>
          <w:rFonts w:ascii="Calibri" w:hAnsi="Calibri"/>
          <w:sz w:val="22"/>
          <w:szCs w:val="22"/>
        </w:rPr>
      </w:pPr>
      <w:r w:rsidRPr="00775E5B">
        <w:rPr>
          <w:rFonts w:ascii="Calibri" w:hAnsi="Calibri"/>
          <w:sz w:val="22"/>
          <w:szCs w:val="22"/>
        </w:rPr>
        <w:t>•</w:t>
      </w:r>
      <w:r w:rsidRPr="00775E5B">
        <w:rPr>
          <w:rFonts w:ascii="Calibri" w:hAnsi="Calibri"/>
          <w:sz w:val="22"/>
          <w:szCs w:val="22"/>
        </w:rPr>
        <w:tab/>
        <w:t>Monitor identity and access management, including for abuse of permissions by authorised system users</w:t>
      </w:r>
    </w:p>
    <w:p w14:paraId="03DECC69"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 xml:space="preserve">Liaise with stakeholders in relation to OS management and secure configuration </w:t>
      </w:r>
    </w:p>
    <w:p w14:paraId="15549703"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Generate reports for both technical and non-technical staff and stakeholders</w:t>
      </w:r>
    </w:p>
    <w:p w14:paraId="693210C6"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Research/evaluate emerging technologies and tooling</w:t>
      </w:r>
    </w:p>
    <w:p w14:paraId="40BA6F18"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Design new security systems or upgrade existing ones</w:t>
      </w:r>
    </w:p>
    <w:p w14:paraId="4B44CC87"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 xml:space="preserve">Liaise with stakeholders and assist with internal audit </w:t>
      </w:r>
    </w:p>
    <w:p w14:paraId="29672498" w14:textId="77777777" w:rsidR="00775E5B" w:rsidRPr="00775E5B" w:rsidRDefault="00775E5B" w:rsidP="00775E5B">
      <w:pPr>
        <w:ind w:left="720" w:hanging="720"/>
        <w:rPr>
          <w:rFonts w:ascii="Calibri" w:hAnsi="Calibri"/>
          <w:sz w:val="22"/>
          <w:szCs w:val="22"/>
        </w:rPr>
      </w:pPr>
      <w:r w:rsidRPr="00775E5B">
        <w:rPr>
          <w:rFonts w:ascii="Calibri" w:hAnsi="Calibri"/>
          <w:sz w:val="22"/>
          <w:szCs w:val="22"/>
        </w:rPr>
        <w:t>•</w:t>
      </w:r>
      <w:r w:rsidRPr="00775E5B">
        <w:rPr>
          <w:rFonts w:ascii="Calibri" w:hAnsi="Calibri"/>
          <w:sz w:val="22"/>
          <w:szCs w:val="22"/>
        </w:rPr>
        <w:tab/>
        <w:t>To take a fully active role in the standby and call out scheme with a contractual obligation to provide call out cover.</w:t>
      </w:r>
    </w:p>
    <w:p w14:paraId="74F3B4FB"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To work off-Island when required to do so.</w:t>
      </w:r>
    </w:p>
    <w:p w14:paraId="4472F240"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To be aware of performance standards for the group.</w:t>
      </w:r>
    </w:p>
    <w:p w14:paraId="08C45ED7" w14:textId="77777777" w:rsidR="00775E5B" w:rsidRPr="00775E5B" w:rsidRDefault="00775E5B" w:rsidP="00775E5B">
      <w:pPr>
        <w:ind w:left="720" w:hanging="720"/>
        <w:rPr>
          <w:rFonts w:ascii="Calibri" w:hAnsi="Calibri"/>
          <w:sz w:val="22"/>
          <w:szCs w:val="22"/>
        </w:rPr>
      </w:pPr>
      <w:r w:rsidRPr="00775E5B">
        <w:rPr>
          <w:rFonts w:ascii="Calibri" w:hAnsi="Calibri"/>
          <w:sz w:val="22"/>
          <w:szCs w:val="22"/>
        </w:rPr>
        <w:t>•</w:t>
      </w:r>
      <w:r w:rsidRPr="00775E5B">
        <w:rPr>
          <w:rFonts w:ascii="Calibri" w:hAnsi="Calibri"/>
          <w:sz w:val="22"/>
          <w:szCs w:val="22"/>
        </w:rPr>
        <w:tab/>
        <w:t>To undertake supervision and co-ordination of other team members (when appropriate), consultants, suppliers and sub-contractors working on networks/systems that the team have responsibility for.</w:t>
      </w:r>
    </w:p>
    <w:p w14:paraId="586AF9C8" w14:textId="08495118" w:rsid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To attain and maintain at least one relevant technical professional qualification.</w:t>
      </w:r>
    </w:p>
    <w:p w14:paraId="7FB8AC61" w14:textId="77777777" w:rsidR="00775E5B" w:rsidRPr="00775E5B" w:rsidRDefault="00775E5B" w:rsidP="00775E5B">
      <w:pPr>
        <w:rPr>
          <w:rFonts w:ascii="Calibri" w:hAnsi="Calibri"/>
          <w:sz w:val="22"/>
          <w:szCs w:val="22"/>
        </w:rPr>
      </w:pPr>
    </w:p>
    <w:p w14:paraId="2268D21A"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lastRenderedPageBreak/>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1043D055" w:rsidR="00F80CC8" w:rsidRPr="004E2DC3" w:rsidRDefault="001B15CE" w:rsidP="00F80CC8">
      <w:pPr>
        <w:jc w:val="both"/>
        <w:rPr>
          <w:rFonts w:ascii="Calibri" w:hAnsi="Calibri" w:cs="Calibri"/>
          <w:b/>
          <w:sz w:val="22"/>
          <w:szCs w:val="22"/>
        </w:rPr>
      </w:pPr>
      <w:r>
        <w:rPr>
          <w:rFonts w:ascii="Calibri" w:hAnsi="Calibri" w:cs="Calibri"/>
          <w:b/>
          <w:sz w:val="22"/>
          <w:szCs w:val="22"/>
        </w:rPr>
        <w:t>THE WAY WE DO THINGS</w:t>
      </w:r>
    </w:p>
    <w:p w14:paraId="05DC5130"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17719F84"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3700AE63"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54BD4E18"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64344C8A" w14:textId="7D69DDD5" w:rsidR="00F80CC8"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617042E4" w14:textId="2AC31140" w:rsidR="001B15CE" w:rsidRDefault="001B15CE" w:rsidP="001B15CE">
      <w:pPr>
        <w:pStyle w:val="ListBullet"/>
        <w:numPr>
          <w:ilvl w:val="0"/>
          <w:numId w:val="0"/>
        </w:numPr>
        <w:spacing w:after="0"/>
        <w:ind w:left="216" w:hanging="216"/>
        <w:jc w:val="both"/>
        <w:rPr>
          <w:rFonts w:ascii="Calibri" w:hAnsi="Calibri" w:cs="Calibri"/>
          <w:sz w:val="22"/>
          <w:szCs w:val="22"/>
        </w:rPr>
      </w:pPr>
    </w:p>
    <w:p w14:paraId="187997B9" w14:textId="77777777" w:rsidR="001B15CE" w:rsidRPr="001B15CE" w:rsidRDefault="001B15CE" w:rsidP="001B15CE">
      <w:pPr>
        <w:pStyle w:val="ListBullet"/>
        <w:numPr>
          <w:ilvl w:val="0"/>
          <w:numId w:val="0"/>
        </w:numPr>
        <w:spacing w:after="0"/>
        <w:ind w:left="216" w:hanging="216"/>
        <w:jc w:val="both"/>
        <w:rPr>
          <w:rFonts w:ascii="Calibri" w:hAnsi="Calibri" w:cs="Calibri"/>
          <w:sz w:val="22"/>
          <w:szCs w:val="22"/>
        </w:rPr>
      </w:pPr>
    </w:p>
    <w:p w14:paraId="45693954" w14:textId="77777777" w:rsidR="00F80CC8" w:rsidRPr="00162B8D" w:rsidRDefault="00F80CC8" w:rsidP="00F80CC8">
      <w:pPr>
        <w:pStyle w:val="Heading2"/>
        <w:jc w:val="both"/>
      </w:pPr>
      <w:r w:rsidRPr="00162B8D">
        <w:t>SKILL REQUIREMENTS</w:t>
      </w:r>
    </w:p>
    <w:p w14:paraId="70C91445" w14:textId="26B23130" w:rsidR="00F80CC8" w:rsidRDefault="00F80CC8" w:rsidP="00F80CC8">
      <w:pPr>
        <w:rPr>
          <w:rFonts w:ascii="Calibri" w:hAnsi="Calibri"/>
          <w:sz w:val="22"/>
          <w:szCs w:val="22"/>
        </w:rPr>
      </w:pPr>
      <w:r w:rsidRPr="00FC6E40">
        <w:rPr>
          <w:rFonts w:ascii="Calibri" w:hAnsi="Calibri"/>
          <w:sz w:val="22"/>
          <w:szCs w:val="22"/>
        </w:rPr>
        <w:t>Essential</w:t>
      </w:r>
      <w:r w:rsidR="00775E5B">
        <w:rPr>
          <w:rFonts w:ascii="Calibri" w:hAnsi="Calibri"/>
          <w:sz w:val="22"/>
          <w:szCs w:val="22"/>
        </w:rPr>
        <w:t>:</w:t>
      </w:r>
    </w:p>
    <w:p w14:paraId="5A3EB16F"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Experience administrating Linux Operating Systems</w:t>
      </w:r>
    </w:p>
    <w:p w14:paraId="3229E03E"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Experience using orchestration tools (Ansible preferred)</w:t>
      </w:r>
    </w:p>
    <w:p w14:paraId="0B8C7A1A"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Experience writing code (Python and JSON preferred)</w:t>
      </w:r>
    </w:p>
    <w:p w14:paraId="2734E72D" w14:textId="77777777" w:rsidR="00775E5B" w:rsidRPr="00775E5B" w:rsidRDefault="00775E5B" w:rsidP="00775E5B">
      <w:pPr>
        <w:ind w:left="720" w:hanging="720"/>
        <w:rPr>
          <w:rFonts w:ascii="Calibri" w:hAnsi="Calibri"/>
          <w:sz w:val="22"/>
          <w:szCs w:val="22"/>
        </w:rPr>
      </w:pPr>
      <w:r w:rsidRPr="00775E5B">
        <w:rPr>
          <w:rFonts w:ascii="Calibri" w:hAnsi="Calibri"/>
          <w:sz w:val="22"/>
          <w:szCs w:val="22"/>
        </w:rPr>
        <w:t>•</w:t>
      </w:r>
      <w:r w:rsidRPr="00775E5B">
        <w:rPr>
          <w:rFonts w:ascii="Calibri" w:hAnsi="Calibri"/>
          <w:sz w:val="22"/>
          <w:szCs w:val="22"/>
        </w:rPr>
        <w:tab/>
        <w:t>Experience configuring and maintaining Security technology such as Firewalls, EDR, IPS, Log correlation and SIEM.</w:t>
      </w:r>
    </w:p>
    <w:p w14:paraId="28BD2C76" w14:textId="08248DA4" w:rsid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Ability to communicate effectively with external parties and staff at all levels.</w:t>
      </w:r>
    </w:p>
    <w:p w14:paraId="7D5A8811" w14:textId="77777777" w:rsidR="00775E5B" w:rsidRPr="00FC6E40" w:rsidRDefault="00775E5B" w:rsidP="00775E5B">
      <w:pPr>
        <w:rPr>
          <w:rFonts w:ascii="Calibri" w:hAnsi="Calibri"/>
          <w:sz w:val="22"/>
          <w:szCs w:val="22"/>
        </w:rPr>
      </w:pPr>
    </w:p>
    <w:p w14:paraId="4D595FF6" w14:textId="1D15D608" w:rsidR="00F80CC8" w:rsidRDefault="00F80CC8" w:rsidP="00F80CC8">
      <w:pPr>
        <w:rPr>
          <w:rFonts w:ascii="Calibri" w:hAnsi="Calibri"/>
          <w:sz w:val="22"/>
          <w:szCs w:val="22"/>
        </w:rPr>
      </w:pPr>
      <w:r w:rsidRPr="00FC6E40">
        <w:rPr>
          <w:rFonts w:ascii="Calibri" w:hAnsi="Calibri"/>
          <w:sz w:val="22"/>
          <w:szCs w:val="22"/>
        </w:rPr>
        <w:t>Highly Desirable</w:t>
      </w:r>
      <w:r w:rsidR="00775E5B">
        <w:rPr>
          <w:rFonts w:ascii="Calibri" w:hAnsi="Calibri"/>
          <w:sz w:val="22"/>
          <w:szCs w:val="22"/>
        </w:rPr>
        <w:t>:</w:t>
      </w:r>
    </w:p>
    <w:p w14:paraId="40B6C2A5"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Experience with RADIUS for authentication and accounting</w:t>
      </w:r>
    </w:p>
    <w:p w14:paraId="3E55F880"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Experience administering DNS servers, BIND or PowerDNS preferred</w:t>
      </w:r>
    </w:p>
    <w:p w14:paraId="6CFCEA80" w14:textId="29AC8DF5" w:rsid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Experience of ISO27001 and ISO 22301</w:t>
      </w:r>
    </w:p>
    <w:p w14:paraId="5BCEC6EC" w14:textId="77777777" w:rsidR="00775E5B" w:rsidRPr="00FC6E40" w:rsidRDefault="00775E5B" w:rsidP="00775E5B">
      <w:pPr>
        <w:rPr>
          <w:rFonts w:ascii="Calibri" w:hAnsi="Calibri"/>
          <w:sz w:val="22"/>
          <w:szCs w:val="22"/>
        </w:rPr>
      </w:pPr>
    </w:p>
    <w:p w14:paraId="52E2C2BE" w14:textId="69C0B158"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3E92E32B"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Ability to produce accurate, good quality work.</w:t>
      </w:r>
    </w:p>
    <w:p w14:paraId="2421CF46"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Demonstrate an interest in current and future technology.</w:t>
      </w:r>
    </w:p>
    <w:p w14:paraId="4019846D"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Self-motivated with the ability to work alone or as part of a team.</w:t>
      </w:r>
    </w:p>
    <w:p w14:paraId="2DFA14D4" w14:textId="77777777" w:rsidR="00775E5B" w:rsidRPr="00775E5B" w:rsidRDefault="00775E5B" w:rsidP="00775E5B">
      <w:pPr>
        <w:rPr>
          <w:rFonts w:ascii="Calibri" w:hAnsi="Calibri"/>
          <w:sz w:val="22"/>
          <w:szCs w:val="22"/>
        </w:rPr>
      </w:pPr>
      <w:r w:rsidRPr="00775E5B">
        <w:rPr>
          <w:rFonts w:ascii="Calibri" w:hAnsi="Calibri"/>
          <w:sz w:val="22"/>
          <w:szCs w:val="22"/>
        </w:rPr>
        <w:t>•</w:t>
      </w:r>
      <w:r w:rsidRPr="00775E5B">
        <w:rPr>
          <w:rFonts w:ascii="Calibri" w:hAnsi="Calibri"/>
          <w:sz w:val="22"/>
          <w:szCs w:val="22"/>
        </w:rPr>
        <w:tab/>
        <w:t>Demonstrate the ability to research and solve problems.</w:t>
      </w:r>
    </w:p>
    <w:p w14:paraId="6DFDCA93" w14:textId="77777777" w:rsidR="00775E5B" w:rsidRPr="00775E5B" w:rsidRDefault="00775E5B" w:rsidP="00775E5B">
      <w:pPr>
        <w:ind w:left="720" w:hanging="720"/>
        <w:rPr>
          <w:rFonts w:ascii="Calibri" w:hAnsi="Calibri"/>
          <w:sz w:val="22"/>
          <w:szCs w:val="22"/>
        </w:rPr>
      </w:pPr>
      <w:r w:rsidRPr="00775E5B">
        <w:rPr>
          <w:rFonts w:ascii="Calibri" w:hAnsi="Calibri"/>
          <w:sz w:val="22"/>
          <w:szCs w:val="22"/>
        </w:rPr>
        <w:t>•</w:t>
      </w:r>
      <w:r w:rsidRPr="00775E5B">
        <w:rPr>
          <w:rFonts w:ascii="Calibri" w:hAnsi="Calibri"/>
          <w:sz w:val="22"/>
          <w:szCs w:val="22"/>
        </w:rPr>
        <w:tab/>
        <w:t>Flexible attitude with enthusiastic and spirited approach to tasks associated with the job.</w:t>
      </w:r>
    </w:p>
    <w:p w14:paraId="20605EE7" w14:textId="3C516722" w:rsidR="00775E5B" w:rsidRPr="00775E5B" w:rsidRDefault="00775E5B" w:rsidP="00775E5B">
      <w:pPr>
        <w:ind w:left="720" w:hanging="720"/>
        <w:rPr>
          <w:rFonts w:ascii="Calibri" w:hAnsi="Calibri"/>
          <w:sz w:val="22"/>
          <w:szCs w:val="22"/>
        </w:rPr>
      </w:pPr>
      <w:r w:rsidRPr="00775E5B">
        <w:rPr>
          <w:rFonts w:ascii="Calibri" w:hAnsi="Calibri"/>
          <w:sz w:val="22"/>
          <w:szCs w:val="22"/>
        </w:rPr>
        <w:t>•</w:t>
      </w:r>
      <w:r w:rsidRPr="00775E5B">
        <w:rPr>
          <w:rFonts w:ascii="Calibri" w:hAnsi="Calibri"/>
          <w:sz w:val="22"/>
          <w:szCs w:val="22"/>
        </w:rPr>
        <w:tab/>
        <w:t>Willing to work unsociable hours both as part of the standby scheme and for scheduled maintenance</w:t>
      </w:r>
    </w:p>
    <w:sectPr w:rsidR="00775E5B" w:rsidRPr="00775E5B" w:rsidSect="0003104A">
      <w:headerReference w:type="even" r:id="rId10"/>
      <w:headerReference w:type="default" r:id="rId11"/>
      <w:footerReference w:type="even" r:id="rId12"/>
      <w:footerReference w:type="default" r:id="rId13"/>
      <w:headerReference w:type="first" r:id="rId14"/>
      <w:footerReference w:type="first" r:id="rId15"/>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2340" w14:textId="77777777" w:rsidR="002659DA" w:rsidRDefault="002659DA" w:rsidP="00CF73B0">
      <w:r>
        <w:separator/>
      </w:r>
    </w:p>
  </w:endnote>
  <w:endnote w:type="continuationSeparator" w:id="0">
    <w:p w14:paraId="1904859F" w14:textId="77777777" w:rsidR="002659DA" w:rsidRDefault="002659DA"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E154" w14:textId="77777777" w:rsidR="00932935" w:rsidRDefault="00932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6D9A9A9F" w:rsidR="0003104A" w:rsidRPr="00F80CC8" w:rsidRDefault="0003104A" w:rsidP="00F80CC8">
    <w:pPr>
      <w:pStyle w:val="Footer"/>
      <w:jc w:val="right"/>
      <w:rPr>
        <w:rFonts w:asciiTheme="majorHAnsi" w:hAnsiTheme="majorHAnsi" w:cstheme="majorHAnsi"/>
        <w:i/>
        <w:iCs/>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6B6C" w14:textId="77777777" w:rsidR="002659DA" w:rsidRDefault="002659DA" w:rsidP="00CF73B0">
      <w:r>
        <w:separator/>
      </w:r>
    </w:p>
  </w:footnote>
  <w:footnote w:type="continuationSeparator" w:id="0">
    <w:p w14:paraId="0D4F5823" w14:textId="77777777" w:rsidR="002659DA" w:rsidRDefault="002659DA"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A1D6" w14:textId="77777777" w:rsidR="00932935" w:rsidRDefault="00932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258884">
    <w:abstractNumId w:val="0"/>
  </w:num>
  <w:num w:numId="2" w16cid:durableId="587494972">
    <w:abstractNumId w:val="1"/>
  </w:num>
  <w:num w:numId="3" w16cid:durableId="1124348990">
    <w:abstractNumId w:val="2"/>
  </w:num>
  <w:num w:numId="4" w16cid:durableId="120462672">
    <w:abstractNumId w:val="5"/>
  </w:num>
  <w:num w:numId="5" w16cid:durableId="235479992">
    <w:abstractNumId w:val="3"/>
  </w:num>
  <w:num w:numId="6" w16cid:durableId="1641686478">
    <w:abstractNumId w:val="4"/>
  </w:num>
  <w:num w:numId="7" w16cid:durableId="46153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86577"/>
    <w:rsid w:val="001B15CE"/>
    <w:rsid w:val="001C696F"/>
    <w:rsid w:val="001D2A2B"/>
    <w:rsid w:val="002659DA"/>
    <w:rsid w:val="004072DE"/>
    <w:rsid w:val="00411B26"/>
    <w:rsid w:val="004516D1"/>
    <w:rsid w:val="00483B0A"/>
    <w:rsid w:val="004F2ED7"/>
    <w:rsid w:val="00505FAD"/>
    <w:rsid w:val="006608F7"/>
    <w:rsid w:val="00775E5B"/>
    <w:rsid w:val="007B6ED4"/>
    <w:rsid w:val="00803784"/>
    <w:rsid w:val="008105AB"/>
    <w:rsid w:val="00817461"/>
    <w:rsid w:val="00932935"/>
    <w:rsid w:val="00B33213"/>
    <w:rsid w:val="00B74FA0"/>
    <w:rsid w:val="00BE0F78"/>
    <w:rsid w:val="00BF52C1"/>
    <w:rsid w:val="00CF73B0"/>
    <w:rsid w:val="00E118F0"/>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3</cp:revision>
  <cp:lastPrinted>2019-09-26T10:43:00Z</cp:lastPrinted>
  <dcterms:created xsi:type="dcterms:W3CDTF">2022-07-27T17:56:00Z</dcterms:created>
  <dcterms:modified xsi:type="dcterms:W3CDTF">2022-07-27T17:57:00Z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